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</w:pPr>
      <w:r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  <w:t>西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  <w:t>藏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  <w:t>自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  <w:t>治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  <w:t>区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  <w:t>地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  <w:t>方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  <w:t>标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  <w:t>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w w:val="90"/>
          <w:sz w:val="52"/>
          <w:szCs w:val="52"/>
        </w:rPr>
      </w:pPr>
      <w:r>
        <w:rPr>
          <w:rFonts w:hint="default" w:ascii="Times New Roman" w:hAnsi="Times New Roman" w:eastAsia="黑体" w:cs="Times New Roman"/>
          <w:b w:val="0"/>
          <w:bCs/>
          <w:w w:val="90"/>
          <w:sz w:val="52"/>
          <w:szCs w:val="52"/>
        </w:rPr>
        <w:t>建设项目使用草原可行性报告</w:t>
      </w:r>
      <w:r>
        <w:rPr>
          <w:rFonts w:hint="default" w:ascii="Times New Roman" w:hAnsi="Times New Roman" w:eastAsia="黑体" w:cs="Times New Roman"/>
          <w:b w:val="0"/>
          <w:bCs/>
          <w:w w:val="90"/>
          <w:sz w:val="52"/>
          <w:szCs w:val="52"/>
          <w:lang w:val="en-US" w:eastAsia="zh-CN"/>
        </w:rPr>
        <w:t>编制规</w:t>
      </w:r>
      <w:r>
        <w:rPr>
          <w:rFonts w:hint="default" w:ascii="Times New Roman" w:hAnsi="Times New Roman" w:eastAsia="黑体" w:cs="Times New Roman"/>
          <w:b w:val="0"/>
          <w:bCs/>
          <w:w w:val="90"/>
          <w:sz w:val="52"/>
          <w:szCs w:val="52"/>
        </w:rPr>
        <w:t>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</w:pPr>
      <w:r>
        <w:rPr>
          <w:rFonts w:hint="default" w:ascii="Times New Roman" w:hAnsi="Times New Roman" w:eastAsia="黑体" w:cs="Times New Roman"/>
          <w:b w:val="0"/>
          <w:bCs/>
          <w:sz w:val="52"/>
          <w:szCs w:val="52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b/>
          <w:sz w:val="44"/>
          <w:szCs w:val="44"/>
        </w:rPr>
      </w:pPr>
    </w:p>
    <w:p>
      <w:pPr>
        <w:spacing w:line="64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u w:val="single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标 准 名 称 ：</w:t>
      </w:r>
      <w:r>
        <w:rPr>
          <w:rFonts w:hint="default" w:ascii="Times New Roman" w:hAnsi="Times New Roman" w:cs="Times New Roman"/>
          <w:sz w:val="32"/>
          <w:szCs w:val="32"/>
          <w:u w:val="single"/>
        </w:rPr>
        <w:t>建设项目使用草原可行性报告编制规范</w:t>
      </w:r>
    </w:p>
    <w:p>
      <w:pPr>
        <w:spacing w:line="64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标 准 性 质 ：</w:t>
      </w:r>
      <w:r>
        <w:rPr>
          <w:rFonts w:hint="default" w:ascii="Times New Roman" w:hAnsi="Times New Roman" w:cs="Times New Roman"/>
          <w:sz w:val="32"/>
          <w:szCs w:val="32"/>
          <w:u w:val="single"/>
        </w:rPr>
        <w:t xml:space="preserve">推荐性               </w:t>
      </w:r>
      <w:r>
        <w:rPr>
          <w:rFonts w:hint="default" w:ascii="Times New Roman" w:hAnsi="Times New Roman" w:cs="Times New Roman"/>
          <w:sz w:val="32"/>
          <w:szCs w:val="32"/>
          <w:u w:val="single"/>
          <w:lang w:val="en-US" w:eastAsia="zh-CN"/>
        </w:rPr>
        <w:t xml:space="preserve">            </w:t>
      </w:r>
    </w:p>
    <w:p>
      <w:pPr>
        <w:spacing w:line="640" w:lineRule="exact"/>
        <w:ind w:firstLine="640" w:firstLineChars="200"/>
        <w:jc w:val="both"/>
        <w:rPr>
          <w:rFonts w:hint="default" w:ascii="Times New Roman" w:hAnsi="Times New Roman" w:eastAsia="宋体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项目承担单位：</w:t>
      </w:r>
      <w:r>
        <w:rPr>
          <w:rFonts w:hint="default" w:ascii="Times New Roman" w:hAnsi="Times New Roman" w:cs="Times New Roman"/>
          <w:sz w:val="32"/>
          <w:szCs w:val="32"/>
          <w:u w:val="single"/>
          <w:lang w:val="en-US" w:eastAsia="zh-CN"/>
        </w:rPr>
        <w:t xml:space="preserve">国家林业和草原局中南调查规划院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both"/>
        <w:textAlignment w:val="auto"/>
        <w:rPr>
          <w:rFonts w:hint="default" w:ascii="Times New Roman" w:hAnsi="Times New Roman" w:eastAsia="宋体" w:cs="Times New Roman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both"/>
        <w:textAlignment w:val="auto"/>
        <w:rPr>
          <w:rFonts w:hint="default" w:ascii="Times New Roman" w:hAnsi="Times New Roman" w:eastAsia="宋体" w:cs="Times New Roman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both"/>
        <w:textAlignment w:val="auto"/>
        <w:rPr>
          <w:rFonts w:hint="default" w:ascii="Times New Roman" w:hAnsi="Times New Roman" w:eastAsia="宋体" w:cs="Times New Roman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both"/>
        <w:textAlignment w:val="auto"/>
        <w:rPr>
          <w:rFonts w:hint="default" w:ascii="Times New Roman" w:hAnsi="Times New Roman" w:eastAsia="宋体" w:cs="Times New Roman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</w:p>
    <w:p>
      <w:pPr>
        <w:spacing w:line="64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u w:val="single"/>
        </w:rPr>
      </w:pPr>
      <w:r>
        <w:rPr>
          <w:rFonts w:hint="default" w:ascii="Times New Roman" w:hAnsi="Times New Roman" w:cs="Times New Roman"/>
          <w:b/>
          <w:sz w:val="32"/>
          <w:szCs w:val="32"/>
        </w:rPr>
        <w:t>项目起止时间：</w:t>
      </w:r>
      <w:r>
        <w:rPr>
          <w:rFonts w:hint="default" w:ascii="Times New Roman" w:hAnsi="Times New Roman" w:cs="Times New Roman"/>
          <w:sz w:val="32"/>
          <w:szCs w:val="32"/>
          <w:u w:val="single"/>
        </w:rPr>
        <w:t>20</w:t>
      </w:r>
      <w:r>
        <w:rPr>
          <w:rFonts w:hint="default" w:ascii="Times New Roman" w:hAnsi="Times New Roman" w:cs="Times New Roman"/>
          <w:sz w:val="32"/>
          <w:szCs w:val="32"/>
          <w:u w:val="single"/>
          <w:lang w:val="en-US" w:eastAsia="zh-CN"/>
        </w:rPr>
        <w:t>24</w:t>
      </w:r>
      <w:r>
        <w:rPr>
          <w:rFonts w:hint="default" w:ascii="Times New Roman" w:hAnsi="Times New Roman" w:cs="Times New Roman"/>
          <w:sz w:val="32"/>
          <w:szCs w:val="32"/>
          <w:u w:val="single"/>
        </w:rPr>
        <w:t>年11月-20</w:t>
      </w:r>
      <w:r>
        <w:rPr>
          <w:rFonts w:hint="default" w:ascii="Times New Roman" w:hAnsi="Times New Roman" w:cs="Times New Roman"/>
          <w:sz w:val="32"/>
          <w:szCs w:val="32"/>
          <w:u w:val="single"/>
          <w:lang w:val="en-US" w:eastAsia="zh-CN"/>
        </w:rPr>
        <w:t>25</w:t>
      </w:r>
      <w:r>
        <w:rPr>
          <w:rFonts w:hint="default" w:ascii="Times New Roman" w:hAnsi="Times New Roman" w:cs="Times New Roman"/>
          <w:sz w:val="32"/>
          <w:szCs w:val="32"/>
          <w:u w:val="single"/>
        </w:rPr>
        <w:t>年</w:t>
      </w:r>
      <w:r>
        <w:rPr>
          <w:rFonts w:hint="default" w:ascii="Times New Roman" w:hAnsi="Times New Roman" w:cs="Times New Roman"/>
          <w:sz w:val="32"/>
          <w:szCs w:val="32"/>
          <w:u w:val="single"/>
          <w:lang w:val="en-US" w:eastAsia="zh-CN"/>
        </w:rPr>
        <w:t>11</w:t>
      </w:r>
      <w:r>
        <w:rPr>
          <w:rFonts w:hint="default" w:ascii="Times New Roman" w:hAnsi="Times New Roman" w:cs="Times New Roman"/>
          <w:sz w:val="32"/>
          <w:szCs w:val="32"/>
          <w:u w:val="single"/>
        </w:rPr>
        <w:t>月</w:t>
      </w:r>
    </w:p>
    <w:p>
      <w:pPr>
        <w:rPr>
          <w:rFonts w:hint="default" w:ascii="Times New Roman" w:hAnsi="Times New Roman" w:cs="Times New Roman"/>
          <w:sz w:val="32"/>
          <w:szCs w:val="32"/>
          <w:u w:val="single"/>
        </w:rPr>
        <w:sectPr>
          <w:headerReference r:id="rId3" w:type="default"/>
          <w:footerReference r:id="rId4" w:type="default"/>
          <w:pgSz w:w="11906" w:h="16838"/>
          <w:pgMar w:top="1440" w:right="1797" w:bottom="1440" w:left="1797" w:header="851" w:footer="992" w:gutter="0"/>
          <w:pgNumType w:fmt="upperRoman"/>
          <w:cols w:space="425" w:num="1"/>
          <w:titlePg/>
          <w:docGrid w:type="linesAndChars" w:linePitch="312" w:charSpace="0"/>
        </w:sectPr>
      </w:pPr>
      <w:r>
        <w:rPr>
          <w:rFonts w:hint="default" w:ascii="Times New Roman" w:hAnsi="Times New Roman" w:cs="Times New Roman"/>
          <w:sz w:val="32"/>
          <w:szCs w:val="32"/>
          <w:u w:val="single"/>
        </w:rPr>
        <w:br w:type="page"/>
      </w:r>
    </w:p>
    <w:sdt>
      <w:sdtPr>
        <w:rPr>
          <w:rFonts w:hint="default" w:ascii="Times New Roman" w:hAnsi="Times New Roman" w:eastAsia="黑体" w:cs="Times New Roman"/>
          <w:kern w:val="2"/>
          <w:sz w:val="32"/>
          <w:szCs w:val="40"/>
          <w:lang w:val="en-US" w:eastAsia="zh-CN" w:bidi="ar-SA"/>
        </w:rPr>
        <w:id w:val="147465697"/>
        <w15:color w:val="DBDBDB"/>
        <w:docPartObj>
          <w:docPartGallery w:val="Table of Contents"/>
          <w:docPartUnique/>
        </w:docPartObj>
      </w:sdtPr>
      <w:sdtEndPr>
        <w:rPr>
          <w:rFonts w:hint="default" w:ascii="Times New Roman" w:hAnsi="Times New Roman" w:eastAsia="黑体" w:cs="Times New Roman"/>
          <w:b/>
          <w:kern w:val="2"/>
          <w:sz w:val="21"/>
          <w:szCs w:val="32"/>
          <w:lang w:val="en-US" w:eastAsia="zh-CN" w:bidi="ar-SA"/>
        </w:rPr>
      </w:sdtEndPr>
      <w:sdtContent>
        <w:p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default" w:ascii="Times New Roman" w:hAnsi="Times New Roman" w:eastAsia="黑体" w:cs="Times New Roman"/>
              <w:sz w:val="32"/>
              <w:szCs w:val="40"/>
            </w:rPr>
          </w:pPr>
          <w:bookmarkStart w:id="0" w:name="_Toc380077655"/>
          <w:r>
            <w:rPr>
              <w:rFonts w:hint="default" w:ascii="Times New Roman" w:hAnsi="Times New Roman" w:eastAsia="黑体" w:cs="Times New Roman"/>
              <w:sz w:val="32"/>
              <w:szCs w:val="40"/>
            </w:rPr>
            <w:t>目</w:t>
          </w:r>
          <w:r>
            <w:rPr>
              <w:rFonts w:hint="default" w:ascii="Times New Roman" w:hAnsi="Times New Roman" w:eastAsia="黑体" w:cs="Times New Roman"/>
              <w:sz w:val="32"/>
              <w:szCs w:val="40"/>
              <w:lang w:val="en-US" w:eastAsia="zh-CN"/>
            </w:rPr>
            <w:t xml:space="preserve"> </w:t>
          </w:r>
          <w:r>
            <w:rPr>
              <w:rFonts w:hint="default" w:ascii="Times New Roman" w:hAnsi="Times New Roman" w:eastAsia="黑体" w:cs="Times New Roman"/>
              <w:sz w:val="32"/>
              <w:szCs w:val="40"/>
            </w:rPr>
            <w:t>录</w:t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sz w:val="28"/>
              <w:szCs w:val="28"/>
            </w:rPr>
            <w:instrText xml:space="preserve">TOC \o "1-2" \h \u </w:instrText>
          </w:r>
          <w:r>
            <w:rPr>
              <w:rFonts w:hint="default" w:ascii="Times New Roman" w:hAnsi="Times New Roman" w:eastAsia="黑体" w:cs="Times New Roman"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_Toc11256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一、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概况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_Toc11256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1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_Toc24502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二、标准编制背景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_Toc24502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1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_Toc7367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三、必要性分析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_Toc7367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2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_Toc26199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四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、工作过程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_Toc26199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2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_Toc17096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五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、标准的主要内容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_Toc17096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3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_Toc24711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六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、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标准的编制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依据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_Toc24711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6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_Toc27026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七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、采用国际标准和国外先进标准</w:t>
          </w:r>
          <w:bookmarkStart w:id="33" w:name="_GoBack"/>
          <w:bookmarkEnd w:id="33"/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的程度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_Toc27026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7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_Toc30727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八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、与有关的现行法律、法规和强制性国家标准的关系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_Toc30727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7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_Toc7516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九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、重大分歧意见的处理经过和依据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_Toc7516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7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_Toc4854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十、推广应用前景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_Toc4854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7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_Toc14924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十一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、贯彻地方标准的要求和措施建议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_Toc14924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7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_Toc16654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十二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、废止现行有关标准的建议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_Toc16654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7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34"/>
            <w:keepNext w:val="0"/>
            <w:keepLines w:val="0"/>
            <w:pageBreakBefore w:val="0"/>
            <w:widowControl/>
            <w:tabs>
              <w:tab w:val="right" w:leader="dot" w:pos="8312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leftChars="0"/>
            <w:textAlignment w:val="auto"/>
            <w:rPr>
              <w:rFonts w:hint="default" w:ascii="Times New Roman" w:hAnsi="Times New Roman" w:cs="Times New Roman"/>
              <w:b/>
              <w:sz w:val="28"/>
              <w:szCs w:val="28"/>
            </w:rPr>
          </w:pP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instrText xml:space="preserve"> HYPERLINK \l _Toc14055 </w:instrTex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十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  <w:lang w:val="en-US" w:eastAsia="zh-CN"/>
            </w:rPr>
            <w:t>三</w:t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t>、其他说明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ab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begin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instrText xml:space="preserve"> PAGEREF _Toc14055 \h </w:instrTex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separate"/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t>7</w:t>
          </w:r>
          <w:r>
            <w:rPr>
              <w:rFonts w:hint="default" w:ascii="Times New Roman" w:hAnsi="Times New Roman" w:cs="Times New Roman"/>
              <w:b w:val="0"/>
              <w:bCs/>
              <w:sz w:val="28"/>
              <w:szCs w:val="28"/>
            </w:rPr>
            <w:fldChar w:fldCharType="end"/>
          </w:r>
          <w:r>
            <w:rPr>
              <w:rFonts w:hint="default" w:ascii="Times New Roman" w:hAnsi="Times New Roman" w:eastAsia="黑体" w:cs="Times New Roman"/>
              <w:b w:val="0"/>
              <w:bCs/>
              <w:sz w:val="28"/>
              <w:szCs w:val="28"/>
            </w:rPr>
            <w:fldChar w:fldCharType="end"/>
          </w:r>
        </w:p>
        <w:p>
          <w:pPr>
            <w:pStyle w:val="22"/>
            <w:keepNext w:val="0"/>
            <w:keepLines w:val="0"/>
            <w:pageBreakBefore w:val="0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240" w:lineRule="auto"/>
            <w:ind w:firstLine="0" w:firstLineChars="0"/>
            <w:textAlignment w:val="auto"/>
            <w:outlineLvl w:val="9"/>
            <w:rPr>
              <w:rFonts w:hint="default" w:ascii="Times New Roman" w:hAnsi="Times New Roman" w:eastAsia="黑体" w:cs="Times New Roman"/>
              <w:sz w:val="32"/>
              <w:szCs w:val="32"/>
            </w:rPr>
            <w:sectPr>
              <w:footerReference r:id="rId5" w:type="default"/>
              <w:pgSz w:w="11906" w:h="16838"/>
              <w:pgMar w:top="1440" w:right="1797" w:bottom="1440" w:left="1797" w:header="851" w:footer="992" w:gutter="0"/>
              <w:pgNumType w:fmt="upperRoman" w:start="1"/>
              <w:cols w:space="425" w:num="1"/>
              <w:docGrid w:type="linesAndChars" w:linePitch="312" w:charSpace="0"/>
            </w:sectPr>
          </w:pPr>
          <w:r>
            <w:rPr>
              <w:rFonts w:hint="default" w:ascii="Times New Roman" w:hAnsi="Times New Roman" w:eastAsia="黑体" w:cs="Times New Roman"/>
              <w:b/>
              <w:sz w:val="28"/>
              <w:szCs w:val="28"/>
            </w:rPr>
            <w:fldChar w:fldCharType="end"/>
          </w:r>
        </w:p>
      </w:sdtContent>
    </w:sdt>
    <w:p>
      <w:pPr>
        <w:pStyle w:val="22"/>
        <w:spacing w:line="576" w:lineRule="exact"/>
        <w:ind w:firstLine="0" w:firstLineChars="0"/>
        <w:outlineLvl w:val="0"/>
        <w:rPr>
          <w:rFonts w:hint="default" w:ascii="Times New Roman" w:hAnsi="Times New Roman" w:eastAsia="黑体" w:cs="Times New Roman"/>
          <w:sz w:val="28"/>
          <w:szCs w:val="28"/>
          <w:lang w:eastAsia="zh-CN"/>
        </w:rPr>
      </w:pPr>
      <w:bookmarkStart w:id="1" w:name="_Toc11256"/>
      <w:r>
        <w:rPr>
          <w:rFonts w:hint="default" w:ascii="Times New Roman" w:hAnsi="Times New Roman" w:eastAsia="黑体" w:cs="Times New Roman"/>
          <w:sz w:val="28"/>
          <w:szCs w:val="28"/>
        </w:rPr>
        <w:t>一、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概况</w:t>
      </w:r>
      <w:bookmarkEnd w:id="1"/>
    </w:p>
    <w:p>
      <w:pPr>
        <w:pStyle w:val="22"/>
        <w:spacing w:line="576" w:lineRule="exact"/>
        <w:ind w:firstLine="0" w:firstLineChars="0"/>
        <w:outlineLvl w:val="1"/>
        <w:rPr>
          <w:rFonts w:hint="default" w:ascii="Times New Roman" w:hAnsi="Times New Roman" w:eastAsia="黑体" w:cs="Times New Roman"/>
          <w:sz w:val="28"/>
          <w:szCs w:val="28"/>
        </w:rPr>
      </w:pPr>
      <w:bookmarkStart w:id="2" w:name="_Toc31151"/>
      <w:r>
        <w:rPr>
          <w:rFonts w:hint="default" w:ascii="Times New Roman" w:hAnsi="Times New Roman" w:eastAsia="黑体" w:cs="Times New Roman"/>
          <w:sz w:val="28"/>
          <w:szCs w:val="28"/>
        </w:rPr>
        <w:t>（一）任务来源</w:t>
      </w:r>
      <w:bookmarkEnd w:id="2"/>
    </w:p>
    <w:p>
      <w:pPr>
        <w:pStyle w:val="22"/>
        <w:spacing w:line="576" w:lineRule="exact"/>
        <w:ind w:firstLine="640"/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lang w:val="en-US" w:eastAsia="zh-CN"/>
        </w:rPr>
        <w:t>本标准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由西藏自治区林业和草原局草原标准化技术委员会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提出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</w:rPr>
        <w:t>归口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，列入西藏自治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区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市场监督管理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局20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年第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宋体" w:cs="Times New Roman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批地方标准制修订计划，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highlight w:val="none"/>
        </w:rPr>
        <w:t>项目编号为：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highlight w:val="none"/>
          <w:lang w:val="en-US" w:eastAsia="zh-CN"/>
        </w:rPr>
        <w:t>xxxx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highlight w:val="none"/>
        </w:rPr>
        <w:t>-20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highlight w:val="none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b w:val="0"/>
          <w:bCs w:val="0"/>
          <w:sz w:val="28"/>
          <w:szCs w:val="28"/>
          <w:highlight w:val="none"/>
        </w:rPr>
        <w:t>。</w:t>
      </w:r>
    </w:p>
    <w:p>
      <w:pPr>
        <w:pStyle w:val="22"/>
        <w:spacing w:line="576" w:lineRule="exact"/>
        <w:ind w:firstLine="0" w:firstLineChars="0"/>
        <w:outlineLvl w:val="1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  <w:bookmarkStart w:id="3" w:name="_Toc4326"/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（二）标准名称</w:t>
      </w:r>
      <w:bookmarkEnd w:id="3"/>
    </w:p>
    <w:p>
      <w:pPr>
        <w:pStyle w:val="22"/>
        <w:spacing w:line="576" w:lineRule="exact"/>
        <w:ind w:firstLine="640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本标准名称为《建设项目使用草原可行性报告编制规范》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。</w:t>
      </w:r>
    </w:p>
    <w:p>
      <w:pPr>
        <w:pStyle w:val="22"/>
        <w:spacing w:line="576" w:lineRule="exact"/>
        <w:ind w:firstLine="0" w:firstLineChars="0"/>
        <w:outlineLvl w:val="1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bookmarkStart w:id="4" w:name="_Toc5531"/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（三）标准性质</w:t>
      </w:r>
      <w:bookmarkEnd w:id="4"/>
    </w:p>
    <w:p>
      <w:pPr>
        <w:pStyle w:val="2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textAlignment w:val="auto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本标准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为西藏自治区首次制订。</w:t>
      </w:r>
    </w:p>
    <w:p>
      <w:pPr>
        <w:pStyle w:val="22"/>
        <w:spacing w:line="576" w:lineRule="exact"/>
        <w:ind w:firstLine="0" w:firstLineChars="0"/>
        <w:outlineLvl w:val="1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bookmarkStart w:id="5" w:name="_Toc1562"/>
      <w:bookmarkStart w:id="6" w:name="OLE_LINK8"/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（四）编制单位及编制团队</w:t>
      </w:r>
      <w:bookmarkEnd w:id="5"/>
      <w:bookmarkEnd w:id="6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本标准起草单位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国家林业和草原局中南调查规划院，起草单位长期深耕草原调查监测、规划设计领域，拥有高资质专业团队，累计完成草原资源评估项目百余项，技术成果获</w:t>
      </w:r>
      <w:r>
        <w:rPr>
          <w:rFonts w:hint="eastAsia" w:ascii="Times New Roman" w:hAnsi="Times New Roman" w:cs="Times New Roman"/>
          <w:kern w:val="2"/>
          <w:sz w:val="28"/>
          <w:szCs w:val="28"/>
          <w:lang w:val="en-US" w:eastAsia="zh-CN" w:bidi="ar-SA"/>
        </w:rPr>
        <w:t>国家、自治区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高度认可，具备扎实能力完成标准编制。</w:t>
      </w:r>
    </w:p>
    <w:p>
      <w:pPr>
        <w:pStyle w:val="2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rFonts w:hint="default" w:ascii="Times New Roman" w:hAnsi="Times New Roman" w:eastAsia="宋体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highlight w:val="none"/>
          <w:lang w:val="en-US" w:eastAsia="zh-CN" w:bidi="ar-SA"/>
        </w:rPr>
        <w:t>本标准主要起草人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 w:bidi="ar-SA"/>
        </w:rPr>
        <w:t>：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highlight w:val="none"/>
          <w:lang w:val="en-US" w:eastAsia="zh-CN" w:bidi="ar-SA"/>
        </w:rPr>
        <w:t>xxxx</w:t>
      </w:r>
      <w:r>
        <w:rPr>
          <w:rFonts w:hint="default" w:ascii="Times New Roman" w:hAnsi="Times New Roman" w:eastAsia="宋体" w:cs="Times New Roman"/>
          <w:sz w:val="28"/>
          <w:szCs w:val="28"/>
          <w:highlight w:val="none"/>
        </w:rPr>
        <w:t>。</w:t>
      </w:r>
    </w:p>
    <w:p>
      <w:pPr>
        <w:pStyle w:val="22"/>
        <w:spacing w:line="576" w:lineRule="exact"/>
        <w:ind w:firstLine="0" w:firstLineChars="0"/>
        <w:outlineLvl w:val="0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bookmarkStart w:id="7" w:name="_Toc24502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二、标准编制背景</w:t>
      </w:r>
      <w:bookmarkEnd w:id="7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根据国家《全国重要生态系统保护和修复重大工程总体规划（2021-2035年）》的战略部署，青藏高原被确立为"三区四带"生态安全格局的核心区域，明确将草原生态系统保护修复列为重点任务。在此背景下，2023年9月</w:t>
      </w:r>
      <w:r>
        <w:rPr>
          <w:rFonts w:hint="eastAsia" w:ascii="Times New Roman" w:hAnsi="Times New Roman" w:cs="Times New Roman"/>
          <w:color w:val="auto"/>
          <w:kern w:val="2"/>
          <w:sz w:val="28"/>
          <w:szCs w:val="28"/>
          <w:lang w:val="en-US" w:eastAsia="zh-CN" w:bidi="ar-SA"/>
        </w:rPr>
        <w:t>，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《青藏高原生态保护法》正式颁布实施，为西藏自治区构建了更加完善的高原生态保护法治体系。西藏</w:t>
      </w:r>
      <w:r>
        <w:rPr>
          <w:rFonts w:hint="eastAsia" w:ascii="Times New Roman" w:hAnsi="Times New Roman" w:cs="Times New Roman"/>
          <w:color w:val="auto"/>
          <w:kern w:val="2"/>
          <w:sz w:val="28"/>
          <w:szCs w:val="28"/>
          <w:lang w:val="en-US" w:eastAsia="zh-CN" w:bidi="ar-SA"/>
        </w:rPr>
        <w:t>自治区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拥有12.01亿亩草原资源</w:t>
      </w:r>
      <w:r>
        <w:rPr>
          <w:rFonts w:hint="eastAsia" w:ascii="Times New Roman" w:hAnsi="Times New Roman" w:cs="Times New Roman"/>
          <w:color w:val="auto"/>
          <w:kern w:val="2"/>
          <w:sz w:val="28"/>
          <w:szCs w:val="28"/>
          <w:lang w:val="en-US" w:eastAsia="zh-CN" w:bidi="ar-SA"/>
        </w:rPr>
        <w:t>，是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我国草原资源最富集的省级行政区，</w:t>
      </w:r>
      <w:r>
        <w:rPr>
          <w:rFonts w:hint="eastAsia" w:ascii="Times New Roman" w:hAnsi="Times New Roman" w:cs="Times New Roman"/>
          <w:color w:val="auto"/>
          <w:kern w:val="2"/>
          <w:sz w:val="28"/>
          <w:szCs w:val="28"/>
          <w:lang w:val="en-US" w:eastAsia="zh-CN" w:bidi="ar-SA"/>
        </w:rPr>
        <w:t>草原面积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占全区国土面积的66.5%，其草原生态系统的完整性不仅维系着"地球第三极"的生态平衡，更对"亚洲水塔"的水源涵养功能具有决定性作用。</w:t>
      </w:r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近年来，随着西藏基础设施、新能源开发（如光伏、风能）及矿藏开采项目的快速推进，草原征占用需求激增。《西藏自治区草原征占用审核审批管理规范（暂行）》虽于 2022 年出台，但一直没有明确的建设项目使用草原报告编制标准，导致出现评估指标模糊、</w:t>
      </w:r>
      <w:r>
        <w:rPr>
          <w:rFonts w:hint="eastAsia" w:ascii="Times New Roman" w:hAnsi="Times New Roman" w:cs="Times New Roman"/>
          <w:color w:val="auto"/>
          <w:kern w:val="2"/>
          <w:sz w:val="28"/>
          <w:szCs w:val="28"/>
          <w:lang w:val="en-US" w:eastAsia="zh-CN" w:bidi="ar-SA"/>
        </w:rPr>
        <w:t>建设项目使用草原</w:t>
      </w: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可行性分析不足，报告编制、图表制作参差不齐等现象。</w:t>
      </w:r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基于此背景下，西藏当前确有必要健全草原征占用审核审批制度，规范建设项目使用草原可行性报告、使用草原现状调查表编制原则、程序、内容和要求。为此，提出制定本标准。</w:t>
      </w:r>
    </w:p>
    <w:bookmarkEnd w:id="0"/>
    <w:p>
      <w:pPr>
        <w:pStyle w:val="22"/>
        <w:spacing w:line="576" w:lineRule="exact"/>
        <w:ind w:firstLine="0" w:firstLineChars="0"/>
        <w:outlineLvl w:val="0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bookmarkStart w:id="8" w:name="_Toc7367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三、必要性分析</w:t>
      </w:r>
      <w:bookmarkEnd w:id="8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本</w:t>
      </w:r>
      <w:r>
        <w:rPr>
          <w:rFonts w:hint="default" w:ascii="Times New Roman" w:hAnsi="Times New Roman" w:eastAsia="宋体" w:cs="Times New Roman"/>
          <w:sz w:val="28"/>
          <w:szCs w:val="28"/>
        </w:rPr>
        <w:t>标准的出台具有迫切必要性。西藏草原作为“亚洲水塔”重要生态屏障，其生态系统脆弱敏感，亟需标准化流程对建设项目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使用草原</w:t>
      </w:r>
      <w:r>
        <w:rPr>
          <w:rFonts w:hint="default" w:ascii="Times New Roman" w:hAnsi="Times New Roman" w:eastAsia="宋体" w:cs="Times New Roman"/>
          <w:sz w:val="28"/>
          <w:szCs w:val="28"/>
        </w:rPr>
        <w:t>实施科学评估。过往报告编制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由于</w:t>
      </w:r>
      <w:r>
        <w:rPr>
          <w:rFonts w:hint="default" w:ascii="Times New Roman" w:hAnsi="Times New Roman" w:eastAsia="宋体" w:cs="Times New Roman"/>
          <w:sz w:val="28"/>
          <w:szCs w:val="28"/>
        </w:rPr>
        <w:t>缺乏统一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标准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8"/>
          <w:szCs w:val="28"/>
        </w:rPr>
        <w:t>既增加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了</w:t>
      </w:r>
      <w:r>
        <w:rPr>
          <w:rFonts w:hint="default" w:ascii="Times New Roman" w:hAnsi="Times New Roman" w:eastAsia="宋体" w:cs="Times New Roman"/>
          <w:sz w:val="28"/>
          <w:szCs w:val="28"/>
        </w:rPr>
        <w:t>林草部门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审核</w:t>
      </w:r>
      <w:r>
        <w:rPr>
          <w:rFonts w:hint="default" w:ascii="Times New Roman" w:hAnsi="Times New Roman" w:eastAsia="宋体" w:cs="Times New Roman"/>
          <w:sz w:val="28"/>
          <w:szCs w:val="28"/>
        </w:rPr>
        <w:t>难度，也削弱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了</w:t>
      </w:r>
      <w:r>
        <w:rPr>
          <w:rFonts w:hint="default" w:ascii="Times New Roman" w:hAnsi="Times New Roman" w:eastAsia="宋体" w:cs="Times New Roman"/>
          <w:sz w:val="28"/>
          <w:szCs w:val="28"/>
        </w:rPr>
        <w:t>草原保护效能。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而</w:t>
      </w:r>
      <w:r>
        <w:rPr>
          <w:rFonts w:hint="default" w:ascii="Times New Roman" w:hAnsi="Times New Roman" w:eastAsia="宋体" w:cs="Times New Roman"/>
          <w:sz w:val="28"/>
          <w:szCs w:val="28"/>
        </w:rPr>
        <w:t>统一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8"/>
          <w:szCs w:val="28"/>
        </w:rPr>
        <w:t>规范可确保报告内容涵盖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项目位置确认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8"/>
          <w:szCs w:val="28"/>
        </w:rPr>
        <w:t>草原现状调查、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建设项目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可行性</w:t>
      </w:r>
      <w:r>
        <w:rPr>
          <w:rFonts w:hint="default" w:ascii="Times New Roman" w:hAnsi="Times New Roman" w:eastAsia="宋体" w:cs="Times New Roman"/>
          <w:sz w:val="28"/>
          <w:szCs w:val="28"/>
        </w:rPr>
        <w:t>分析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保障措施</w:t>
      </w:r>
      <w:r>
        <w:rPr>
          <w:rFonts w:hint="default" w:ascii="Times New Roman" w:hAnsi="Times New Roman" w:eastAsia="宋体" w:cs="Times New Roman"/>
          <w:sz w:val="28"/>
          <w:szCs w:val="28"/>
        </w:rPr>
        <w:t>等核心要素，从源头上规避无序开发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8"/>
          <w:szCs w:val="28"/>
        </w:rPr>
        <w:t>促进生态保护与经济发展协同，维护生物多样性及牧民生产生活根基，对筑牢国家生态安全屏障、落实生态文明建设战略意义深远。</w:t>
      </w:r>
    </w:p>
    <w:p>
      <w:pPr>
        <w:pStyle w:val="22"/>
        <w:spacing w:line="576" w:lineRule="exact"/>
        <w:ind w:firstLine="0" w:firstLineChars="0"/>
        <w:outlineLvl w:val="0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bookmarkStart w:id="9" w:name="_Toc26199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28"/>
          <w:szCs w:val="28"/>
        </w:rPr>
        <w:t>、工作过程</w:t>
      </w:r>
      <w:bookmarkEnd w:id="9"/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  <w:bookmarkStart w:id="10" w:name="_Toc17803"/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建立标准起草组</w:t>
      </w:r>
      <w:bookmarkEnd w:id="10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2024 年 7 月，国家林草局中南调查规划院综合监测二处组建标准起草组，同步拟定科学详尽的编制工作方案，明确各成员专业分工与任务节点，为规范编制筑牢组织基础。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</w:pPr>
      <w:bookmarkStart w:id="11" w:name="_Toc845"/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（二）资料收集与调研</w:t>
      </w:r>
      <w:bookmarkEnd w:id="11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shd w:val="clear" w:color="auto" w:fill="auto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2024 年 8 月至 10 月，起草组系统收集国家及自治区层面相关技术标准、国内外研究成果，深度剖析西藏现行草原使用可行性报告文本，全面总结实践经验并梳理现存问题，形成初步研究底数。</w:t>
      </w:r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shd w:val="clear" w:color="auto" w:fill="auto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2024 年 11 月至 12 月，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针对标准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shd w:val="clear" w:color="auto" w:fill="auto"/>
        </w:rPr>
        <w:t>内容中的重点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核心技术问题，专项咨询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起草单位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的权威专家，通过多轮研讨充分吸纳智慧，为标准框架搭建提供专业支撑。</w:t>
      </w:r>
    </w:p>
    <w:p>
      <w:pPr>
        <w:pStyle w:val="22"/>
        <w:spacing w:line="576" w:lineRule="exact"/>
        <w:ind w:firstLine="0" w:firstLineChars="0"/>
        <w:outlineLvl w:val="1"/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</w:pPr>
      <w:bookmarkStart w:id="12" w:name="_Toc3322"/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（三）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形成工作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  <w:lang w:val="en-US" w:eastAsia="zh-CN"/>
        </w:rPr>
        <w:t>征求意见</w:t>
      </w:r>
      <w:r>
        <w:rPr>
          <w:rFonts w:hint="default" w:ascii="Times New Roman" w:hAnsi="Times New Roman" w:eastAsia="黑体" w:cs="Times New Roman"/>
          <w:b w:val="0"/>
          <w:bCs w:val="0"/>
          <w:sz w:val="28"/>
          <w:szCs w:val="28"/>
        </w:rPr>
        <w:t>稿</w:t>
      </w:r>
      <w:bookmarkEnd w:id="12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 xml:space="preserve">2025 年 1 月至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 xml:space="preserve"> 月，起草组基于前期调研成果构建规范基础框架，围绕报告编制流程、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报告内容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、成果要求等关键要素，与专家保持实时技术沟通，经数易其稿、逐条打磨，形成《建设项目使用草原可行性报告编制规范》征求意见稿，确保规范内容兼具实践指导性与区域适应性。</w:t>
      </w:r>
    </w:p>
    <w:p>
      <w:pPr>
        <w:pStyle w:val="22"/>
        <w:spacing w:line="576" w:lineRule="exact"/>
        <w:ind w:firstLine="0" w:firstLineChars="0"/>
        <w:outlineLvl w:val="0"/>
        <w:rPr>
          <w:rFonts w:hint="default" w:ascii="Times New Roman" w:hAnsi="Times New Roman" w:eastAsia="黑体" w:cs="Times New Roman"/>
          <w:sz w:val="28"/>
          <w:szCs w:val="28"/>
        </w:rPr>
      </w:pPr>
      <w:bookmarkStart w:id="13" w:name="_Toc17096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28"/>
          <w:szCs w:val="28"/>
        </w:rPr>
        <w:t>、标准的主要内容</w:t>
      </w:r>
      <w:bookmarkEnd w:id="13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标准的主要内容包括范围、规范性引用文件、术语和定义、总则、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资料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准备、位置范围确认、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草原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现状调查、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建设项目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可行性分析、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保障措施、使用草原费用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测算、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成果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编制与要求1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个部分；另有5个附录，即：建设项目使用草原因子调查表、建设项目使用草原统计表、使用草原现状调查表、使用草原可行性报告编写提纲以及使用草原图件制作要求。下面作简要说明。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bookmarkStart w:id="14" w:name="_Toc5578"/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（一）范围</w:t>
      </w:r>
      <w:bookmarkEnd w:id="14"/>
    </w:p>
    <w:p>
      <w:pPr>
        <w:spacing w:line="576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对标准的适用范围作出规定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bookmarkStart w:id="15" w:name="_Toc14511"/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（二）规范性引用文件</w:t>
      </w:r>
      <w:bookmarkEnd w:id="15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FF000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引用GB/T 21010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《土地利用现状分类》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 xml:space="preserve">NY/T 2997 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《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草地分类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》国家标准和行业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标准，用于对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草原地类的划分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；引用GB/T 40451 《草原与牧草术语》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国家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标准，用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于现地调查中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划分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草原类；引用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 xml:space="preserve">NY/T 2998 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《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草地资源调查技术规程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》、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 xml:space="preserve">NY/T 1233 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《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草原资源与生态监测技术规程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》行业标准，用于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规范草地资源调查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监测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的流程与方法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引用LY/T 3398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《草原等级评定技术规程》行业标准，用于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对草原等级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进行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划分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引用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 xml:space="preserve">LY/T 1820 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《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野生动植物资源调查技术规程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》行业标准，用于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规范野生动植物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和古树名木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的调查内容与方法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引用TD/T 1055 《第三次全国国土调查技术规程》行业标准，用于求算小班面积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bookmarkStart w:id="16" w:name="_Toc20658"/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（三）术语和定义</w:t>
      </w:r>
      <w:bookmarkEnd w:id="16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本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文件引用和提出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个术语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定义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包括草原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、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基本草原、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使用草原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草原植被恢复费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草原补偿费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、安置补助费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项目区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项目区域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自然保护地以及生态保护红线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bookmarkStart w:id="17" w:name="_Toc18759"/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（四）总则</w:t>
      </w:r>
      <w:bookmarkEnd w:id="17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本文件给出了建设项目使用草原可行性报告的编制目的、任务、依据、原则、程序以及成果。核心围绕依法合规保护草原生态，强调以国家及地方相关法规、技术标准为基础，通过实地调查与科学分析评估项目可行性，并依据西藏自治区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草原行政主管部门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相关规定分类编制可行性报告或现状调查表。特别突出生态敏感性项目准入论证与生态影响分析，贯穿“合法合规、真实可靠、科学全面”的编制原则，覆盖资料准备、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现状调查、可行性分析、保障措施、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费用测算到成果提交的全流程。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bookmarkStart w:id="18" w:name="_Toc5536"/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（五）资料准备</w:t>
      </w:r>
      <w:bookmarkEnd w:id="18"/>
    </w:p>
    <w:p>
      <w:pPr>
        <w:widowControl w:val="0"/>
        <w:numPr>
          <w:ilvl w:val="0"/>
          <w:numId w:val="0"/>
        </w:numPr>
        <w:spacing w:line="576" w:lineRule="exact"/>
        <w:ind w:firstLine="560" w:firstLineChars="200"/>
        <w:jc w:val="both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本文件梳理了建设项目使用草原审核所需的资料体系，涵盖空间规划、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林草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生态数据、权属证明及项目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资料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四大维度。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bookmarkStart w:id="19" w:name="_Toc26237"/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（六）位置范围确认</w:t>
      </w:r>
      <w:bookmarkEnd w:id="19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本文件明确不得拆分项目，化整为零确定用地范围，使用土地红线范围或者勘测定界图确定项目使用草原范围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和基本草原范围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。同时，进一明确使用草原范围与自然保护地和生态保护红线的位置关系，为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建设项目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可行性分析提供现实基础。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bookmarkStart w:id="20" w:name="_Toc2464"/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（七）</w:t>
      </w:r>
      <w:r>
        <w:rPr>
          <w:rFonts w:hint="eastAsia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草原</w:t>
      </w:r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现状调查</w:t>
      </w:r>
      <w:bookmarkEnd w:id="20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本文件明确现状调查是编制草原使用可行性报告的基础，需通过GIS空间叠加分析明确拟使用草原的边界范围，结合西藏国土调查与草原资源监测数据，生成编号地块。调查内容涵盖草原属性因子（地类、草原类别、草原等级、草原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类、草原型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、植被结构等），采用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档案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资料核实和现地调查结合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的方式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执行。专项调查需核查自然保护地、生态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保护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红线、古树名木及重点保护野生动植物分布，确保权属无争议，并对违法使用草原行为进行说明，确保数据真实、合规。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</w:pPr>
      <w:bookmarkStart w:id="21" w:name="_Toc30901"/>
      <w:r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（八）</w:t>
      </w:r>
      <w:r>
        <w:rPr>
          <w:rFonts w:hint="eastAsia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建设项目</w:t>
      </w:r>
      <w:r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可行性分析</w:t>
      </w:r>
      <w:bookmarkEnd w:id="21"/>
    </w:p>
    <w:p>
      <w:pPr>
        <w:widowControl w:val="0"/>
        <w:numPr>
          <w:ilvl w:val="0"/>
          <w:numId w:val="0"/>
        </w:numPr>
        <w:spacing w:line="576" w:lineRule="exact"/>
        <w:ind w:firstLine="560" w:firstLineChars="200"/>
        <w:jc w:val="both"/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本文件明确分析需以国家及自治区政策（《草原征占用审核审批管理规范》《自然资源要素支撑产业目录》）为基准，论证项目准入性、选址合理性及规模合规性。重点评估对草原生态、农牧民生产生活、社会稳定性的影响，明确项目必要性与草原法律法规的符合性。涉及自然保护地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，需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特别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说明保护措施及政策衔接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。涉及基本草原的，需特别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分析使用基本草原的不可避让性。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九</w:t>
      </w:r>
      <w:r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）</w:t>
      </w:r>
      <w:r>
        <w:rPr>
          <w:rFonts w:hint="eastAsia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保障措施</w:t>
      </w:r>
    </w:p>
    <w:p>
      <w:pPr>
        <w:widowControl w:val="0"/>
        <w:numPr>
          <w:ilvl w:val="0"/>
          <w:numId w:val="0"/>
        </w:numPr>
        <w:spacing w:line="576" w:lineRule="exact"/>
        <w:ind w:firstLine="560" w:firstLineChars="200"/>
        <w:jc w:val="both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本文件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明确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要求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建设项目使用草原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需要在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水土保持、生物多样性保护、生态系统保护、生态环境保护、自然景观保护以及对农牧民正常生产、生活方面</w:t>
      </w:r>
      <w:r>
        <w:rPr>
          <w:rFonts w:hint="eastAsia" w:ascii="Times New Roman" w:hAnsi="Times New Roman" w:eastAsia="宋体" w:cs="Times New Roman"/>
          <w:color w:val="auto"/>
          <w:sz w:val="28"/>
          <w:szCs w:val="28"/>
          <w:lang w:val="en-US" w:eastAsia="zh-CN"/>
        </w:rPr>
        <w:t>提出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保障措施，并对措施的预期成效进行分析。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</w:pPr>
      <w:bookmarkStart w:id="22" w:name="_Toc5351"/>
      <w:r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（</w:t>
      </w:r>
      <w:r>
        <w:rPr>
          <w:rFonts w:hint="eastAsia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十</w:t>
      </w:r>
      <w:r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）</w:t>
      </w:r>
      <w:r>
        <w:rPr>
          <w:rFonts w:hint="eastAsia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使用草原费用</w:t>
      </w:r>
      <w:bookmarkEnd w:id="22"/>
      <w:r>
        <w:rPr>
          <w:rFonts w:hint="eastAsia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测算</w:t>
      </w:r>
    </w:p>
    <w:p>
      <w:pPr>
        <w:widowControl w:val="0"/>
        <w:numPr>
          <w:ilvl w:val="0"/>
          <w:numId w:val="0"/>
        </w:numPr>
        <w:spacing w:line="576" w:lineRule="exact"/>
        <w:ind w:firstLine="560" w:firstLineChars="200"/>
        <w:jc w:val="both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本文件明确建设项目使用草原植被恢复费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草原补偿费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和安置补助费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的测算方法。依据西藏财政标准及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当地最新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征地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政策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，分类测算草原植被恢复费和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草原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补偿费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、安置补助费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。费用需按地块属性因子逐项计算，汇总后保留4位小数，明确测算依据、分类逻辑及总额，确保与调查数据一致，并在报告中独立列表明细。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</w:pPr>
      <w:bookmarkStart w:id="23" w:name="_Toc27441"/>
      <w:r>
        <w:rPr>
          <w:rFonts w:hint="default" w:ascii="Times New Roman" w:hAnsi="Times New Roman" w:eastAsia="黑体" w:cs="Times New Roman"/>
          <w:color w:val="auto"/>
          <w:kern w:val="2"/>
          <w:sz w:val="28"/>
          <w:szCs w:val="28"/>
          <w:lang w:val="en-US" w:eastAsia="zh-CN" w:bidi="ar-SA"/>
        </w:rPr>
        <w:t>（十）成果编制与要求</w:t>
      </w:r>
      <w:bookmarkEnd w:id="23"/>
    </w:p>
    <w:p>
      <w:pPr>
        <w:widowControl w:val="0"/>
        <w:numPr>
          <w:ilvl w:val="0"/>
          <w:numId w:val="0"/>
        </w:numPr>
        <w:spacing w:line="576" w:lineRule="exact"/>
        <w:ind w:firstLine="560" w:firstLineChars="200"/>
        <w:jc w:val="both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本文件明确成果包括使用草原现状调查表或可行性报告，需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包含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附录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D提纲中所有内容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。报告正文需符合排版规范，重点突出建设内容、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建设项目可行性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分析及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相关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生态措施。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成果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提交时需同步提供纸质及电子版（PDF/TIF/JPG），涉密内容按国家规定管理。成果有效期12个月，政策变动需重新编制。</w:t>
      </w:r>
    </w:p>
    <w:p>
      <w:pPr>
        <w:spacing w:line="576" w:lineRule="exact"/>
        <w:outlineLvl w:val="1"/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</w:pPr>
      <w:bookmarkStart w:id="24" w:name="_Toc29220"/>
      <w:r>
        <w:rPr>
          <w:rFonts w:hint="default" w:ascii="Times New Roman" w:hAnsi="Times New Roman" w:eastAsia="黑体" w:cs="Times New Roman"/>
          <w:kern w:val="2"/>
          <w:sz w:val="28"/>
          <w:szCs w:val="28"/>
          <w:lang w:val="en-US" w:eastAsia="zh-CN" w:bidi="ar-SA"/>
        </w:rPr>
        <w:t>（十一）附录</w:t>
      </w:r>
      <w:bookmarkEnd w:id="2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规范性附录A列出了建设项目使用草原因子调查表；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规范性附录B分别列出了建设项目使用草原按权属、草原类、涉及自然保护地分面积统计表；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规范性附录C列出了建设项目使用草原现状调查表；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规范性附录D列出了建设项目使用草原可行性报告编写提纲；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规范性附录E列出了建设项目使用草原图件制作要求。</w:t>
      </w:r>
    </w:p>
    <w:p>
      <w:pPr>
        <w:spacing w:line="576" w:lineRule="exact"/>
        <w:outlineLvl w:val="0"/>
        <w:rPr>
          <w:rFonts w:hint="default" w:ascii="Times New Roman" w:hAnsi="Times New Roman" w:eastAsia="黑体" w:cs="Times New Roman"/>
          <w:sz w:val="28"/>
          <w:szCs w:val="28"/>
        </w:rPr>
      </w:pPr>
      <w:bookmarkStart w:id="25" w:name="_Toc24711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28"/>
          <w:szCs w:val="28"/>
        </w:rPr>
        <w:t>、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标准的编制</w:t>
      </w:r>
      <w:r>
        <w:rPr>
          <w:rFonts w:hint="default" w:ascii="Times New Roman" w:hAnsi="Times New Roman" w:eastAsia="黑体" w:cs="Times New Roman"/>
          <w:sz w:val="28"/>
          <w:szCs w:val="28"/>
        </w:rPr>
        <w:t>依据</w:t>
      </w:r>
      <w:bookmarkEnd w:id="2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56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本标准依据《标准化工作导则第 1 部分：标准化文件的结构和起草规则》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GB/T1.1-20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20）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highlight w:val="none"/>
          <w:lang w:val="en-US" w:eastAsia="zh-CN"/>
        </w:rPr>
        <w:t>的规则、规范进行编制。</w:t>
      </w:r>
    </w:p>
    <w:p>
      <w:pPr>
        <w:pStyle w:val="22"/>
        <w:spacing w:line="576" w:lineRule="exact"/>
        <w:ind w:firstLine="0" w:firstLineChars="0"/>
        <w:outlineLvl w:val="0"/>
        <w:rPr>
          <w:rFonts w:hint="default" w:ascii="Times New Roman" w:hAnsi="Times New Roman" w:eastAsia="黑体" w:cs="Times New Roman"/>
          <w:sz w:val="28"/>
          <w:szCs w:val="28"/>
        </w:rPr>
      </w:pPr>
      <w:bookmarkStart w:id="26" w:name="_Toc27026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七</w:t>
      </w:r>
      <w:r>
        <w:rPr>
          <w:rFonts w:hint="default" w:ascii="Times New Roman" w:hAnsi="Times New Roman" w:eastAsia="黑体" w:cs="Times New Roman"/>
          <w:sz w:val="28"/>
          <w:szCs w:val="28"/>
        </w:rPr>
        <w:t>、采用国际标准和国外先进标准的程度</w:t>
      </w:r>
      <w:bookmarkEnd w:id="26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本标准不涉及对现有国际标准和国外先进标准的采用。</w:t>
      </w:r>
    </w:p>
    <w:p>
      <w:pPr>
        <w:spacing w:line="576" w:lineRule="exact"/>
        <w:outlineLvl w:val="0"/>
        <w:rPr>
          <w:rFonts w:hint="default" w:ascii="Times New Roman" w:hAnsi="Times New Roman" w:eastAsia="黑体" w:cs="Times New Roman"/>
          <w:sz w:val="28"/>
          <w:szCs w:val="28"/>
        </w:rPr>
      </w:pPr>
      <w:bookmarkStart w:id="27" w:name="_Toc30727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28"/>
          <w:szCs w:val="28"/>
        </w:rPr>
        <w:t>、与有关的现行法律、法规和强制性国家标准的关系</w:t>
      </w:r>
      <w:bookmarkEnd w:id="27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本标准涉及到《中华人民共和国草原法》、《草原征占用审核审批管理办法》《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西藏自治区</w:t>
      </w:r>
      <w:r>
        <w:rPr>
          <w:rFonts w:hint="default" w:ascii="Times New Roman" w:hAnsi="Times New Roman" w:eastAsia="宋体" w:cs="Times New Roman"/>
          <w:sz w:val="28"/>
          <w:szCs w:val="28"/>
        </w:rPr>
        <w:t>草原征占用审核审批管理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规范（试行）</w:t>
      </w:r>
      <w:r>
        <w:rPr>
          <w:rFonts w:hint="default" w:ascii="Times New Roman" w:hAnsi="Times New Roman" w:eastAsia="宋体" w:cs="Times New Roman"/>
          <w:sz w:val="28"/>
          <w:szCs w:val="28"/>
        </w:rPr>
        <w:t>》等相关法律法规，与上述法律法规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无冲突。</w:t>
      </w:r>
    </w:p>
    <w:p>
      <w:pPr>
        <w:spacing w:line="576" w:lineRule="exact"/>
        <w:outlineLvl w:val="0"/>
        <w:rPr>
          <w:rFonts w:hint="default" w:ascii="Times New Roman" w:hAnsi="Times New Roman" w:eastAsia="黑体" w:cs="Times New Roman"/>
          <w:sz w:val="28"/>
          <w:szCs w:val="28"/>
        </w:rPr>
      </w:pPr>
      <w:bookmarkStart w:id="28" w:name="_Toc7516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九</w:t>
      </w:r>
      <w:r>
        <w:rPr>
          <w:rFonts w:hint="default" w:ascii="Times New Roman" w:hAnsi="Times New Roman" w:eastAsia="黑体" w:cs="Times New Roman"/>
          <w:sz w:val="28"/>
          <w:szCs w:val="28"/>
        </w:rPr>
        <w:t>、重大分歧意见的处理经过和依据</w:t>
      </w:r>
      <w:bookmarkEnd w:id="28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本标准在制定过程中未出现重大分歧意见。</w:t>
      </w:r>
    </w:p>
    <w:p>
      <w:pPr>
        <w:numPr>
          <w:ilvl w:val="0"/>
          <w:numId w:val="3"/>
        </w:numPr>
        <w:spacing w:line="576" w:lineRule="exact"/>
        <w:outlineLvl w:val="0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bookmarkStart w:id="29" w:name="_Toc4854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推广应用前景</w:t>
      </w:r>
      <w:bookmarkEnd w:id="29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本标准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可推广应用至其他省（自治区），为各级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草原行政主管部门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审核审批和监督管理建设项目使用草原提供科学依据</w:t>
      </w:r>
      <w:r>
        <w:rPr>
          <w:rFonts w:hint="default" w:ascii="Times New Roman" w:hAnsi="Times New Roman" w:eastAsia="宋体" w:cs="Times New Roman"/>
          <w:sz w:val="28"/>
          <w:szCs w:val="28"/>
        </w:rPr>
        <w:t>。</w:t>
      </w:r>
    </w:p>
    <w:p>
      <w:pPr>
        <w:spacing w:line="576" w:lineRule="exact"/>
        <w:outlineLvl w:val="0"/>
        <w:rPr>
          <w:rFonts w:hint="default" w:ascii="Times New Roman" w:hAnsi="Times New Roman" w:eastAsia="黑体" w:cs="Times New Roman"/>
          <w:sz w:val="28"/>
          <w:szCs w:val="28"/>
        </w:rPr>
      </w:pPr>
      <w:bookmarkStart w:id="30" w:name="_Toc14924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十一</w:t>
      </w:r>
      <w:r>
        <w:rPr>
          <w:rFonts w:hint="default" w:ascii="Times New Roman" w:hAnsi="Times New Roman" w:eastAsia="黑体" w:cs="Times New Roman"/>
          <w:sz w:val="28"/>
          <w:szCs w:val="28"/>
        </w:rPr>
        <w:t>、贯彻地方标准的要求和措施建议</w:t>
      </w:r>
      <w:bookmarkEnd w:id="30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宋体" w:cs="Times New Roman"/>
          <w:color w:val="auto"/>
          <w:sz w:val="28"/>
          <w:szCs w:val="28"/>
          <w:shd w:val="clear" w:color="auto" w:fill="auto"/>
        </w:rPr>
        <w:t>建议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shd w:val="clear" w:color="auto" w:fill="auto"/>
          <w:lang w:val="en-US" w:eastAsia="zh-CN"/>
        </w:rPr>
        <w:t>尽早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shd w:val="clear" w:color="auto" w:fill="auto"/>
        </w:rPr>
        <w:t>发布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shd w:val="clear" w:color="auto" w:fill="auto"/>
          <w:lang w:val="en-US" w:eastAsia="zh-CN"/>
        </w:rPr>
        <w:t>，强化法律法规与政策合规性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shd w:val="clear" w:color="auto" w:fill="auto"/>
        </w:rPr>
        <w:t>。</w:t>
      </w:r>
    </w:p>
    <w:p>
      <w:pPr>
        <w:spacing w:line="576" w:lineRule="exact"/>
        <w:outlineLvl w:val="0"/>
        <w:rPr>
          <w:rFonts w:hint="default" w:ascii="Times New Roman" w:hAnsi="Times New Roman" w:eastAsia="黑体" w:cs="Times New Roman"/>
          <w:sz w:val="28"/>
          <w:szCs w:val="28"/>
        </w:rPr>
      </w:pPr>
      <w:bookmarkStart w:id="31" w:name="_Toc16654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十二</w:t>
      </w:r>
      <w:r>
        <w:rPr>
          <w:rFonts w:hint="default" w:ascii="Times New Roman" w:hAnsi="Times New Roman" w:eastAsia="黑体" w:cs="Times New Roman"/>
          <w:sz w:val="28"/>
          <w:szCs w:val="28"/>
        </w:rPr>
        <w:t>、废止现行有关标准的建议</w:t>
      </w:r>
      <w:bookmarkEnd w:id="31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本标准为首次制定，不涉及对现行标准的废止。</w:t>
      </w:r>
    </w:p>
    <w:p>
      <w:pPr>
        <w:spacing w:line="576" w:lineRule="exact"/>
        <w:outlineLvl w:val="0"/>
        <w:rPr>
          <w:rFonts w:hint="default" w:ascii="Times New Roman" w:hAnsi="Times New Roman" w:eastAsia="黑体" w:cs="Times New Roman"/>
          <w:sz w:val="28"/>
          <w:szCs w:val="28"/>
        </w:rPr>
      </w:pPr>
      <w:bookmarkStart w:id="32" w:name="_Toc14055"/>
      <w:r>
        <w:rPr>
          <w:rFonts w:hint="default" w:ascii="Times New Roman" w:hAnsi="Times New Roman" w:eastAsia="黑体" w:cs="Times New Roman"/>
          <w:sz w:val="28"/>
          <w:szCs w:val="28"/>
        </w:rPr>
        <w:t>十</w:t>
      </w:r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28"/>
          <w:szCs w:val="28"/>
        </w:rPr>
        <w:t>、其他说明</w:t>
      </w:r>
      <w:bookmarkEnd w:id="32"/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>随着西藏自治区经济社会的进步和科学技术的发展，标准需与时俱进，建议根据实际，及时修订完善。</w:t>
      </w:r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                  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8"/>
          <w:szCs w:val="28"/>
        </w:rPr>
        <w:t>《规范》</w:t>
      </w:r>
      <w:r>
        <w:rPr>
          <w:rFonts w:hint="default" w:ascii="Times New Roman" w:hAnsi="Times New Roman" w:eastAsia="宋体" w:cs="Times New Roman"/>
          <w:sz w:val="28"/>
          <w:szCs w:val="28"/>
          <w:lang w:eastAsia="zh-CN"/>
        </w:rPr>
        <w:t>编制</w:t>
      </w:r>
      <w:r>
        <w:rPr>
          <w:rFonts w:hint="default" w:ascii="Times New Roman" w:hAnsi="Times New Roman" w:eastAsia="宋体" w:cs="Times New Roman"/>
          <w:sz w:val="28"/>
          <w:szCs w:val="28"/>
        </w:rPr>
        <w:t>小组</w:t>
      </w:r>
    </w:p>
    <w:p>
      <w:pPr>
        <w:spacing w:line="576" w:lineRule="exact"/>
        <w:ind w:firstLine="560" w:firstLineChars="200"/>
        <w:rPr>
          <w:rFonts w:hint="default" w:ascii="Times New Roman" w:hAnsi="Times New Roman" w:eastAsia="宋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                      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20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sz w:val="28"/>
          <w:szCs w:val="28"/>
        </w:rPr>
        <w:t>年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8"/>
          <w:szCs w:val="28"/>
        </w:rPr>
        <w:t>月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sz w:val="28"/>
          <w:szCs w:val="28"/>
        </w:rPr>
        <w:t>日</w:t>
      </w:r>
    </w:p>
    <w:sectPr>
      <w:footerReference r:id="rId6" w:type="default"/>
      <w:pgSz w:w="11906" w:h="16838"/>
      <w:pgMar w:top="1440" w:right="1797" w:bottom="1440" w:left="1797" w:header="851" w:footer="992" w:gutter="0"/>
      <w:pgNumType w:fmt="decimal"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1"/>
    </w:pPr>
    <w:r>
      <w:t>DB54/</w:t>
    </w:r>
    <w:r>
      <w:rPr>
        <w:rFonts w:hint="eastAsia"/>
      </w:rPr>
      <w:t>T</w:t>
    </w:r>
    <w:r>
      <w:t xml:space="preserve">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1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pPr>
        <w:ind w:left="284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8"/>
      <w:suff w:val="nothing"/>
      <w:lvlText w:val="%1.%2.%3　"/>
      <w:lvlJc w:val="left"/>
      <w:pPr>
        <w:ind w:left="710" w:firstLine="0"/>
      </w:pPr>
      <w:rPr>
        <w:rFonts w:hint="eastAsia" w:ascii="宋体" w:hAnsi="宋体" w:eastAsia="宋体"/>
        <w:b w:val="0"/>
        <w:i w:val="0"/>
        <w:color w:val="auto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508B20CB"/>
    <w:multiLevelType w:val="multilevel"/>
    <w:tmpl w:val="508B20CB"/>
    <w:lvl w:ilvl="0" w:tentative="0">
      <w:start w:val="1"/>
      <w:numFmt w:val="japaneseCounting"/>
      <w:lvlText w:val="%1、"/>
      <w:lvlJc w:val="left"/>
      <w:pPr>
        <w:ind w:left="1145" w:hanging="720"/>
      </w:pPr>
      <w:rPr>
        <w:rFonts w:hint="default"/>
      </w:rPr>
    </w:lvl>
    <w:lvl w:ilvl="1" w:tentative="0">
      <w:start w:val="1"/>
      <w:numFmt w:val="lowerLetter"/>
      <w:pStyle w:val="27"/>
      <w:lvlText w:val="%2)"/>
      <w:lvlJc w:val="left"/>
      <w:pPr>
        <w:ind w:left="1265" w:hanging="420"/>
      </w:pPr>
    </w:lvl>
    <w:lvl w:ilvl="2" w:tentative="0">
      <w:start w:val="1"/>
      <w:numFmt w:val="lowerRoman"/>
      <w:lvlText w:val="%3."/>
      <w:lvlJc w:val="right"/>
      <w:pPr>
        <w:ind w:left="1685" w:hanging="420"/>
      </w:pPr>
    </w:lvl>
    <w:lvl w:ilvl="3" w:tentative="0">
      <w:start w:val="1"/>
      <w:numFmt w:val="decimal"/>
      <w:lvlText w:val="%4."/>
      <w:lvlJc w:val="left"/>
      <w:pPr>
        <w:ind w:left="2105" w:hanging="420"/>
      </w:pPr>
    </w:lvl>
    <w:lvl w:ilvl="4" w:tentative="0">
      <w:start w:val="1"/>
      <w:numFmt w:val="lowerLetter"/>
      <w:lvlText w:val="%5)"/>
      <w:lvlJc w:val="left"/>
      <w:pPr>
        <w:ind w:left="2525" w:hanging="420"/>
      </w:pPr>
    </w:lvl>
    <w:lvl w:ilvl="5" w:tentative="0">
      <w:start w:val="1"/>
      <w:numFmt w:val="lowerRoman"/>
      <w:lvlText w:val="%6."/>
      <w:lvlJc w:val="right"/>
      <w:pPr>
        <w:ind w:left="2945" w:hanging="420"/>
      </w:pPr>
    </w:lvl>
    <w:lvl w:ilvl="6" w:tentative="0">
      <w:start w:val="1"/>
      <w:numFmt w:val="decimal"/>
      <w:lvlText w:val="%7."/>
      <w:lvlJc w:val="left"/>
      <w:pPr>
        <w:ind w:left="3365" w:hanging="420"/>
      </w:pPr>
    </w:lvl>
    <w:lvl w:ilvl="7" w:tentative="0">
      <w:start w:val="1"/>
      <w:numFmt w:val="lowerLetter"/>
      <w:lvlText w:val="%8)"/>
      <w:lvlJc w:val="left"/>
      <w:pPr>
        <w:ind w:left="3785" w:hanging="420"/>
      </w:pPr>
    </w:lvl>
    <w:lvl w:ilvl="8" w:tentative="0">
      <w:start w:val="1"/>
      <w:numFmt w:val="lowerRoman"/>
      <w:lvlText w:val="%9."/>
      <w:lvlJc w:val="right"/>
      <w:pPr>
        <w:ind w:left="4205" w:hanging="420"/>
      </w:pPr>
    </w:lvl>
  </w:abstractNum>
  <w:abstractNum w:abstractNumId="2">
    <w:nsid w:val="52DD84C3"/>
    <w:multiLevelType w:val="singleLevel"/>
    <w:tmpl w:val="52DD84C3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0"/>
  <w:bordersDoNotSurroundFooter w:val="0"/>
  <w:documentProtection w:enforcement="0"/>
  <w:defaultTabStop w:val="42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C0"/>
    <w:rsid w:val="000327C5"/>
    <w:rsid w:val="00072FAF"/>
    <w:rsid w:val="00087D07"/>
    <w:rsid w:val="00095DC4"/>
    <w:rsid w:val="00110891"/>
    <w:rsid w:val="00111F42"/>
    <w:rsid w:val="00166742"/>
    <w:rsid w:val="001709D9"/>
    <w:rsid w:val="00171071"/>
    <w:rsid w:val="00186BC2"/>
    <w:rsid w:val="001B455A"/>
    <w:rsid w:val="001B5E28"/>
    <w:rsid w:val="001E29AA"/>
    <w:rsid w:val="001F0AC2"/>
    <w:rsid w:val="001F19B0"/>
    <w:rsid w:val="00207566"/>
    <w:rsid w:val="002501BD"/>
    <w:rsid w:val="00257F7E"/>
    <w:rsid w:val="002902F7"/>
    <w:rsid w:val="00292CE3"/>
    <w:rsid w:val="002A467A"/>
    <w:rsid w:val="002E0665"/>
    <w:rsid w:val="00316801"/>
    <w:rsid w:val="003502C4"/>
    <w:rsid w:val="00352D69"/>
    <w:rsid w:val="003530CC"/>
    <w:rsid w:val="00387EA0"/>
    <w:rsid w:val="003B527B"/>
    <w:rsid w:val="004252F8"/>
    <w:rsid w:val="00426FA3"/>
    <w:rsid w:val="004358E9"/>
    <w:rsid w:val="00470A45"/>
    <w:rsid w:val="00473D39"/>
    <w:rsid w:val="004B46C2"/>
    <w:rsid w:val="004C3FF8"/>
    <w:rsid w:val="004D725F"/>
    <w:rsid w:val="0050129F"/>
    <w:rsid w:val="00501924"/>
    <w:rsid w:val="00543525"/>
    <w:rsid w:val="005C1CB8"/>
    <w:rsid w:val="005C6635"/>
    <w:rsid w:val="005D0AD0"/>
    <w:rsid w:val="005F32CD"/>
    <w:rsid w:val="005F6F82"/>
    <w:rsid w:val="006242D8"/>
    <w:rsid w:val="00625E02"/>
    <w:rsid w:val="00627EC0"/>
    <w:rsid w:val="006B4B44"/>
    <w:rsid w:val="006B67FE"/>
    <w:rsid w:val="006C68A0"/>
    <w:rsid w:val="006D3DDE"/>
    <w:rsid w:val="006F2877"/>
    <w:rsid w:val="007055BE"/>
    <w:rsid w:val="007057EE"/>
    <w:rsid w:val="007139E4"/>
    <w:rsid w:val="00722E04"/>
    <w:rsid w:val="00773D5B"/>
    <w:rsid w:val="007912B6"/>
    <w:rsid w:val="00793A95"/>
    <w:rsid w:val="007C3566"/>
    <w:rsid w:val="0080717B"/>
    <w:rsid w:val="00817B1B"/>
    <w:rsid w:val="008275AC"/>
    <w:rsid w:val="00855AAF"/>
    <w:rsid w:val="00880F03"/>
    <w:rsid w:val="00890960"/>
    <w:rsid w:val="008B7142"/>
    <w:rsid w:val="008C24C7"/>
    <w:rsid w:val="008C2BB0"/>
    <w:rsid w:val="00925B76"/>
    <w:rsid w:val="009402FB"/>
    <w:rsid w:val="00953145"/>
    <w:rsid w:val="009B28FC"/>
    <w:rsid w:val="00A16B7E"/>
    <w:rsid w:val="00A40B75"/>
    <w:rsid w:val="00A43DB8"/>
    <w:rsid w:val="00A61167"/>
    <w:rsid w:val="00A64ADB"/>
    <w:rsid w:val="00A90208"/>
    <w:rsid w:val="00A96EE9"/>
    <w:rsid w:val="00AA24C6"/>
    <w:rsid w:val="00AB1EE7"/>
    <w:rsid w:val="00AB4989"/>
    <w:rsid w:val="00AB7DE1"/>
    <w:rsid w:val="00AD1DC4"/>
    <w:rsid w:val="00AE5177"/>
    <w:rsid w:val="00B25D87"/>
    <w:rsid w:val="00B438FE"/>
    <w:rsid w:val="00B66EC7"/>
    <w:rsid w:val="00B674AD"/>
    <w:rsid w:val="00BC4603"/>
    <w:rsid w:val="00BD160B"/>
    <w:rsid w:val="00BF50E8"/>
    <w:rsid w:val="00BF608C"/>
    <w:rsid w:val="00C51CFE"/>
    <w:rsid w:val="00C543F3"/>
    <w:rsid w:val="00C63A2B"/>
    <w:rsid w:val="00CD1ED5"/>
    <w:rsid w:val="00CD6E00"/>
    <w:rsid w:val="00D13E3B"/>
    <w:rsid w:val="00D47287"/>
    <w:rsid w:val="00D54680"/>
    <w:rsid w:val="00D54E1A"/>
    <w:rsid w:val="00D64022"/>
    <w:rsid w:val="00D657FE"/>
    <w:rsid w:val="00D709F1"/>
    <w:rsid w:val="00D9578A"/>
    <w:rsid w:val="00D96790"/>
    <w:rsid w:val="00DC32B1"/>
    <w:rsid w:val="00DC33BC"/>
    <w:rsid w:val="00DF6D3F"/>
    <w:rsid w:val="00E401A4"/>
    <w:rsid w:val="00E70484"/>
    <w:rsid w:val="00E95252"/>
    <w:rsid w:val="00F04722"/>
    <w:rsid w:val="00F71740"/>
    <w:rsid w:val="00FA3682"/>
    <w:rsid w:val="00FA4517"/>
    <w:rsid w:val="00FD13AB"/>
    <w:rsid w:val="00FE61B4"/>
    <w:rsid w:val="01F30178"/>
    <w:rsid w:val="02BC5C51"/>
    <w:rsid w:val="045A318B"/>
    <w:rsid w:val="04747B7A"/>
    <w:rsid w:val="078D12C0"/>
    <w:rsid w:val="0835301F"/>
    <w:rsid w:val="086837BD"/>
    <w:rsid w:val="0B616172"/>
    <w:rsid w:val="0BC54430"/>
    <w:rsid w:val="0EC46A68"/>
    <w:rsid w:val="0FCA5DAE"/>
    <w:rsid w:val="10076A36"/>
    <w:rsid w:val="16766EE8"/>
    <w:rsid w:val="189F77F2"/>
    <w:rsid w:val="18EB7C71"/>
    <w:rsid w:val="19AA0FA9"/>
    <w:rsid w:val="1A5B7B7F"/>
    <w:rsid w:val="1DFC058A"/>
    <w:rsid w:val="1F5E3ED9"/>
    <w:rsid w:val="21411DC3"/>
    <w:rsid w:val="216337D3"/>
    <w:rsid w:val="226B4005"/>
    <w:rsid w:val="255B1ED6"/>
    <w:rsid w:val="26456EAD"/>
    <w:rsid w:val="2DA851F7"/>
    <w:rsid w:val="2DDA3448"/>
    <w:rsid w:val="2F33497E"/>
    <w:rsid w:val="2F3D1C0A"/>
    <w:rsid w:val="324B258A"/>
    <w:rsid w:val="32753027"/>
    <w:rsid w:val="35162DF9"/>
    <w:rsid w:val="35684E2E"/>
    <w:rsid w:val="37F47A4C"/>
    <w:rsid w:val="3A340DFD"/>
    <w:rsid w:val="3B90011A"/>
    <w:rsid w:val="3DAA5002"/>
    <w:rsid w:val="3F890D4B"/>
    <w:rsid w:val="40FC20D1"/>
    <w:rsid w:val="41855E54"/>
    <w:rsid w:val="41D5336C"/>
    <w:rsid w:val="45E7061B"/>
    <w:rsid w:val="46095908"/>
    <w:rsid w:val="478E6E20"/>
    <w:rsid w:val="487D25D6"/>
    <w:rsid w:val="4ADC085D"/>
    <w:rsid w:val="4BEB0A1B"/>
    <w:rsid w:val="4D1A0FAB"/>
    <w:rsid w:val="4D3C2717"/>
    <w:rsid w:val="4D87621E"/>
    <w:rsid w:val="4DE40204"/>
    <w:rsid w:val="4ED0636B"/>
    <w:rsid w:val="4F236F63"/>
    <w:rsid w:val="4F2924CC"/>
    <w:rsid w:val="50D53860"/>
    <w:rsid w:val="538D6EA3"/>
    <w:rsid w:val="56054FAD"/>
    <w:rsid w:val="56951434"/>
    <w:rsid w:val="56A66360"/>
    <w:rsid w:val="588440C7"/>
    <w:rsid w:val="58B82BCD"/>
    <w:rsid w:val="5C8101AD"/>
    <w:rsid w:val="5E5B2680"/>
    <w:rsid w:val="61677BBD"/>
    <w:rsid w:val="62107AF1"/>
    <w:rsid w:val="63045E00"/>
    <w:rsid w:val="64AA7978"/>
    <w:rsid w:val="68852D07"/>
    <w:rsid w:val="6B4558BA"/>
    <w:rsid w:val="6B617494"/>
    <w:rsid w:val="6B7A02FD"/>
    <w:rsid w:val="6DA824C6"/>
    <w:rsid w:val="6E3C4D68"/>
    <w:rsid w:val="71C41079"/>
    <w:rsid w:val="72AB1871"/>
    <w:rsid w:val="74E11C28"/>
    <w:rsid w:val="74F46E5B"/>
    <w:rsid w:val="74F72EF3"/>
    <w:rsid w:val="75655B69"/>
    <w:rsid w:val="780D5BCC"/>
    <w:rsid w:val="7BD94279"/>
    <w:rsid w:val="7D04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T Extra" w:hAnsi="MT Extra" w:eastAsia="宋体" w:cs="MT Extra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4">
    <w:name w:val="Body Text"/>
    <w:basedOn w:val="1"/>
    <w:qFormat/>
    <w:uiPriority w:val="1"/>
    <w:pPr>
      <w:ind w:left="120"/>
    </w:pPr>
    <w:rPr>
      <w:rFonts w:ascii="宋体" w:hAnsi="宋体" w:eastAsia="宋体"/>
      <w:sz w:val="21"/>
      <w:szCs w:val="21"/>
    </w:rPr>
  </w:style>
  <w:style w:type="paragraph" w:styleId="5">
    <w:name w:val="Date"/>
    <w:basedOn w:val="1"/>
    <w:next w:val="1"/>
    <w:link w:val="30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paragraph" w:styleId="10">
    <w:name w:val="footnote text"/>
    <w:basedOn w:val="1"/>
    <w:link w:val="29"/>
    <w:qFormat/>
    <w:uiPriority w:val="0"/>
    <w:pPr>
      <w:numPr>
        <w:ilvl w:val="0"/>
        <w:numId w:val="1"/>
      </w:numPr>
      <w:tabs>
        <w:tab w:val="left" w:pos="0"/>
      </w:tabs>
      <w:snapToGrid w:val="0"/>
      <w:jc w:val="left"/>
    </w:pPr>
    <w:rPr>
      <w:rFonts w:ascii="宋体" w:hAnsi="Times New Roman" w:cs="Times New Roman"/>
      <w:sz w:val="18"/>
      <w:szCs w:val="18"/>
    </w:rPr>
  </w:style>
  <w:style w:type="paragraph" w:styleId="11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4">
    <w:name w:val="Table Grid"/>
    <w:basedOn w:val="13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22"/>
    <w:rPr>
      <w:b/>
    </w:rPr>
  </w:style>
  <w:style w:type="character" w:styleId="17">
    <w:name w:val="Hyperlink"/>
    <w:basedOn w:val="15"/>
    <w:semiHidden/>
    <w:unhideWhenUsed/>
    <w:qFormat/>
    <w:uiPriority w:val="99"/>
    <w:rPr>
      <w:color w:val="0000FF"/>
      <w:u w:val="single"/>
    </w:rPr>
  </w:style>
  <w:style w:type="character" w:styleId="18">
    <w:name w:val="footnote reference"/>
    <w:semiHidden/>
    <w:qFormat/>
    <w:uiPriority w:val="0"/>
    <w:rPr>
      <w:vertAlign w:val="superscript"/>
    </w:rPr>
  </w:style>
  <w:style w:type="character" w:customStyle="1" w:styleId="19">
    <w:name w:val="页眉 Char"/>
    <w:basedOn w:val="15"/>
    <w:link w:val="8"/>
    <w:semiHidden/>
    <w:qFormat/>
    <w:uiPriority w:val="99"/>
    <w:rPr>
      <w:sz w:val="18"/>
      <w:szCs w:val="18"/>
    </w:rPr>
  </w:style>
  <w:style w:type="character" w:customStyle="1" w:styleId="20">
    <w:name w:val="页脚 Char"/>
    <w:basedOn w:val="15"/>
    <w:link w:val="7"/>
    <w:semiHidden/>
    <w:qFormat/>
    <w:uiPriority w:val="99"/>
    <w:rPr>
      <w:sz w:val="18"/>
      <w:szCs w:val="18"/>
    </w:rPr>
  </w:style>
  <w:style w:type="character" w:customStyle="1" w:styleId="21">
    <w:name w:val="批注框文本 Char"/>
    <w:basedOn w:val="15"/>
    <w:link w:val="6"/>
    <w:semiHidden/>
    <w:qFormat/>
    <w:uiPriority w:val="99"/>
    <w:rPr>
      <w:sz w:val="18"/>
      <w:szCs w:val="18"/>
    </w:rPr>
  </w:style>
  <w:style w:type="paragraph" w:customStyle="1" w:styleId="22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23">
    <w:name w:val="apple-converted-space"/>
    <w:basedOn w:val="15"/>
    <w:qFormat/>
    <w:uiPriority w:val="0"/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段 Char"/>
    <w:link w:val="26"/>
    <w:qFormat/>
    <w:uiPriority w:val="0"/>
    <w:rPr>
      <w:rFonts w:ascii="宋体"/>
    </w:rPr>
  </w:style>
  <w:style w:type="paragraph" w:customStyle="1" w:styleId="26">
    <w:name w:val="段"/>
    <w:link w:val="25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一级条标题"/>
    <w:next w:val="26"/>
    <w:qFormat/>
    <w:uiPriority w:val="0"/>
    <w:pPr>
      <w:numPr>
        <w:ilvl w:val="1"/>
        <w:numId w:val="2"/>
      </w:numPr>
      <w:spacing w:beforeLines="50" w:afterLines="50"/>
      <w:ind w:left="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8">
    <w:name w:val="二级条标题"/>
    <w:basedOn w:val="27"/>
    <w:next w:val="26"/>
    <w:qFormat/>
    <w:uiPriority w:val="0"/>
    <w:pPr>
      <w:numPr>
        <w:ilvl w:val="2"/>
        <w:numId w:val="1"/>
      </w:numPr>
      <w:spacing w:before="50" w:after="50"/>
      <w:outlineLvl w:val="3"/>
    </w:pPr>
  </w:style>
  <w:style w:type="character" w:customStyle="1" w:styleId="29">
    <w:name w:val="脚注文本 Char"/>
    <w:basedOn w:val="15"/>
    <w:link w:val="10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30">
    <w:name w:val="日期 Char"/>
    <w:basedOn w:val="15"/>
    <w:link w:val="5"/>
    <w:semiHidden/>
    <w:qFormat/>
    <w:uiPriority w:val="99"/>
    <w:rPr>
      <w:rFonts w:ascii="MT Extra" w:hAnsi="MT Extra" w:cs="MT Extra"/>
      <w:kern w:val="2"/>
      <w:sz w:val="21"/>
      <w:szCs w:val="24"/>
    </w:rPr>
  </w:style>
  <w:style w:type="paragraph" w:customStyle="1" w:styleId="31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2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33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4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35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F0E949-D8E4-42A1-A556-3BB0075B75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772</Words>
  <Characters>4401</Characters>
  <Lines>36</Lines>
  <Paragraphs>10</Paragraphs>
  <TotalTime>17</TotalTime>
  <ScaleCrop>false</ScaleCrop>
  <LinksUpToDate>false</LinksUpToDate>
  <CharactersWithSpaces>5163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2018-12-27T07:56:00Z</dcterms:created>
  <dc:creator>lenovo</dc:creator>
  <cp:lastModifiedBy>周灯</cp:lastModifiedBy>
  <cp:lastPrinted>2018-12-27T07:59:00Z</cp:lastPrinted>
  <dcterms:modified xsi:type="dcterms:W3CDTF">2025-05-20T08:13:10Z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C9C6247ABABE4A00BB5B204201645894</vt:lpwstr>
  </property>
</Properties>
</file>